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§5118. Cooperation by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Cooperation by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§5118. COOPERATION BY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