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5719</w:t>
        <w:t xml:space="preserve">.  </w:t>
      </w:r>
      <w:r>
        <w:rPr>
          <w:b/>
        </w:rPr>
        <w:t xml:space="preserve">Limitations on investments</w:t>
      </w:r>
    </w:p>
    <w:p>
      <w:pPr>
        <w:jc w:val="both"/>
        <w:spacing w:before="100" w:after="100"/>
        <w:ind w:start="360"/>
        <w:ind w:firstLine="360"/>
      </w:pPr>
      <w:r>
        <w:rPr/>
      </w:r>
      <w:r>
        <w:rPr/>
      </w:r>
      <w:r>
        <w:t xml:space="preserve">A municipality's authority to invest municipal funds is limited to investments permitted under this subchapter and a municipality has no authority under home rule authority or otherwise to make any investments other than those permitted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1995, c. 206,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206,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§5719. Limitations on investments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§5719. Limitations on investments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§5719. LIMITATIONS ON INVESTMENTS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