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5721</w:t>
        <w:t xml:space="preserve">.  </w:t>
      </w:r>
      <w:r>
        <w:rPr>
          <w:b/>
        </w:rPr>
        <w:t xml:space="preserve">General authority</w:t>
      </w:r>
    </w:p>
    <w:p>
      <w:pPr>
        <w:jc w:val="both"/>
        <w:spacing w:before="100" w:after="100"/>
        <w:ind w:start="360"/>
        <w:ind w:firstLine="360"/>
      </w:pPr>
      <w:r>
        <w:rPr/>
      </w:r>
      <w:r>
        <w:rPr/>
      </w:r>
      <w:r>
        <w:t xml:space="preserve">A municipality may raise or appropriate money for any public purpose, including, but not limited to, the purposes specified in </w:t>
      </w:r>
      <w:r>
        <w:t>sections 5722</w:t>
      </w:r>
      <w:r>
        <w:t xml:space="preserve"> to </w:t>
      </w:r>
      <w:r>
        <w:t>5728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§5721.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§5721.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§5721.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