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5821</w:t>
        <w:t xml:space="preserve">.  </w:t>
      </w:r>
      <w:r>
        <w:rPr>
          <w:b/>
        </w:rPr>
        <w:t xml:space="preserve">Uniform accounting system</w:t>
      </w:r>
    </w:p>
    <w:p>
      <w:pPr>
        <w:jc w:val="both"/>
        <w:spacing w:before="100" w:after="100"/>
        <w:ind w:start="360"/>
        <w:ind w:firstLine="360"/>
      </w:pPr>
      <w:r>
        <w:rPr/>
      </w:r>
      <w:r>
        <w:rPr/>
      </w:r>
      <w:r>
        <w:t xml:space="preserve">Each municipality and each quasi-municipal corporation, including, but not limited to, various types of districts or corporations embracing a portion of a municipality, a single municipality or several municipalities not under the jurisdiction of the Public Utilities Commission, shall: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Accounting records.</w:t>
        <w:t xml:space="preserve"> </w:t>
      </w:r>
      <w:r>
        <w:t xml:space="preserve"> </w:t>
      </w:r>
      <w:r>
        <w:t xml:space="preserve">Keep its accounting records in conformity with generally accepted principles of municipal accounting;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Uniform classification.</w:t>
        <w:t xml:space="preserve"> </w:t>
      </w:r>
      <w:r>
        <w:t xml:space="preserve"> </w:t>
      </w:r>
      <w:r>
        <w:t xml:space="preserve">Use a uniform classification for revenue, expenditures and balance sheet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§5821. Uniform accounting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§5821. Uniform accounting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§5821. UNIFORM ACCOUNTING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