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5822</w:t>
        <w:t xml:space="preserve">.  </w:t>
      </w:r>
      <w:r>
        <w:rPr>
          <w:b/>
        </w:rPr>
        <w:t xml:space="preserve">Investigation of accounting and auditing system</w:t>
      </w:r>
    </w:p>
    <w:p>
      <w:pPr>
        <w:jc w:val="both"/>
        <w:spacing w:before="100" w:after="100"/>
        <w:ind w:start="360"/>
        <w:ind w:firstLine="360"/>
      </w:pPr>
      <w:r>
        <w:rPr/>
      </w:r>
      <w:r>
        <w:rPr/>
      </w:r>
      <w:r>
        <w:t xml:space="preserve">The State Auditor may inquire into the accounting and auditing system of any municipality or any quasi-municipal corporation not under the jurisdiction of the Public Utilities Commission.  The officers of that municipality or quasi-municipal corporation shall furnish information pertaining to the system in the form prescribed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§5822. Investigation of accounting and auditing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§5822. Investigation of accounting and auditing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§5822. INVESTIGATION OF ACCOUNTING AND AUDITING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