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5904</w:t>
        <w:t xml:space="preserve">.  </w:t>
      </w:r>
      <w:r>
        <w:rPr>
          <w:b/>
        </w:rPr>
        <w:t xml:space="preserve">Liberal construction of chapter</w:t>
      </w:r>
    </w:p>
    <w:p>
      <w:pPr>
        <w:jc w:val="both"/>
        <w:spacing w:before="100" w:after="100"/>
        <w:ind w:start="360"/>
        <w:ind w:firstLine="360"/>
      </w:pPr>
      <w:r>
        <w:rPr/>
      </w:r>
      <w:r>
        <w:rPr/>
      </w:r>
      <w:r>
        <w:t xml:space="preserve">This chapter shall be construed liberally to effectuate the legislative intent and the purposes of this chapter as complete and independent authority for the performance of each and every act and thing authorized in this chapter and all powers granted in this chapter shall be broadly interpreted to effectuate that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§5904. Liberal construction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§5904. Liberal construction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§5904. LIBERAL CONSTRUCTION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