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elected county commissioners of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may include the mayor, aldermen, councillors or manager of a city, the  members of the select board, councillors or manager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§16 (AMD).]</w:t>
      </w:r>
    </w:p>
    <w:p>
      <w:pPr>
        <w:jc w:val="both"/>
        <w:spacing w:before="100" w:after="0"/>
        <w:ind w:start="360"/>
        <w:ind w:firstLine="360"/>
      </w:pPr>
      <w:r>
        <w:rPr>
          <w:b/>
        </w:rPr>
        <w:t>3</w:t>
        <w:t xml:space="preserve">.  </w:t>
      </w:r>
      <w:r>
        <w:rPr>
          <w:b/>
        </w:rPr>
        <w:t xml:space="preserve">Municipal officers.</w:t>
        <w:t xml:space="preserve"> </w:t>
      </w:r>
      <w:r>
        <w:t xml:space="preserve"> </w:t>
      </w:r>
      <w:r>
        <w:t xml:space="preserve">"Municipal officers" means the elected mayor, aldermen or councillors of a city, the members of the select board or councillors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