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Powers of the Houlton Band of Maliseet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§6206-A. POWERS OF THE HOULTON BAND OF MALISEET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