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1021</w:t>
        <w:t xml:space="preserve">.  </w:t>
      </w:r>
      <w:r>
        <w:rPr>
          <w:b/>
        </w:rPr>
        <w:t xml:space="preserve">Partnership as entity</w:t>
      </w:r>
    </w:p>
    <w:p>
      <w:pPr>
        <w:jc w:val="both"/>
        <w:spacing w:before="100" w:after="0"/>
        <w:ind w:start="360"/>
        <w:ind w:firstLine="360"/>
      </w:pPr>
      <w:r>
        <w:rPr>
          <w:b/>
        </w:rPr>
        <w:t>1</w:t>
        <w:t xml:space="preserve">.  </w:t>
      </w:r>
      <w:r>
        <w:rPr>
          <w:b/>
        </w:rPr>
        <w:t xml:space="preserve">Distinct from partners.</w:t>
        <w:t xml:space="preserve"> </w:t>
      </w:r>
      <w:r>
        <w:t xml:space="preserve"> </w:t>
      </w:r>
      <w:r>
        <w:t xml:space="preserve">A partnership is an entity distinct from its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Limited liability partnership.</w:t>
        <w:t xml:space="preserve"> </w:t>
      </w:r>
      <w:r>
        <w:t xml:space="preserve"> </w:t>
      </w:r>
      <w:r>
        <w:t xml:space="preserve">A limited liability partnership continues to be the same entity that existed before the filing of a statement of qualification under </w:t>
      </w:r>
      <w:r>
        <w:t>section 821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§1021. Partnership as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§1021. Partnership as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§1021. PARTNERSHIP AS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