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Partner's transferable interest subject to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Partner's transferable interest subject to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§1054. PARTNER'S TRANSFERABLE INTEREST SUBJECT TO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