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Partner's power to bind partnership after dissolution</w:t>
      </w:r>
    </w:p>
    <w:p>
      <w:pPr>
        <w:jc w:val="both"/>
        <w:spacing w:before="100" w:after="100"/>
        <w:ind w:start="360"/>
        <w:ind w:firstLine="360"/>
      </w:pPr>
      <w:r>
        <w:rPr/>
      </w:r>
      <w:r>
        <w:rPr/>
      </w:r>
      <w:r>
        <w:t xml:space="preserve">Subject to </w:t>
      </w:r>
      <w:r>
        <w:t>section 1085</w:t>
      </w:r>
      <w:r>
        <w:t xml:space="preserve">, a partnership is bound by a partner's act after dissolution that: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Appropriate act.</w:t>
        <w:t xml:space="preserve"> </w:t>
      </w:r>
      <w:r>
        <w:t xml:space="preserve"> </w:t>
      </w:r>
      <w:r>
        <w:t xml:space="preserve">Is appropriate for winding up the partnership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 would have bound partnership.</w:t>
        <w:t xml:space="preserve"> </w:t>
      </w:r>
      <w:r>
        <w:t xml:space="preserve"> </w:t>
      </w:r>
      <w:r>
        <w:t xml:space="preserve">Would have bound the partnership under </w:t>
      </w:r>
      <w:r>
        <w:t>section 1031</w:t>
      </w:r>
      <w:r>
        <w:t xml:space="preserve">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§1084. Partner's power to bind partnership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Partner's power to bind partnership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§1084. PARTNER'S POWER TO BIND PARTNERSHIP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