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Effect of conversion</w:t>
      </w:r>
    </w:p>
    <w:p>
      <w:pPr>
        <w:jc w:val="both"/>
        <w:spacing w:before="100" w:after="0"/>
        <w:ind w:start="360"/>
        <w:ind w:firstLine="360"/>
      </w:pPr>
      <w:r>
        <w:rPr>
          <w:b/>
        </w:rPr>
        <w:t>1</w:t>
        <w:t xml:space="preserve">.  </w:t>
      </w:r>
      <w:r>
        <w:rPr>
          <w:b/>
        </w:rPr>
        <w:t xml:space="preserve">Same entity.</w:t>
        <w:t xml:space="preserve"> </w:t>
      </w:r>
      <w:r>
        <w:t xml:space="preserve"> </w:t>
      </w:r>
      <w:r>
        <w:t xml:space="preserve">A partnership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Effective date.</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partnership remains vested in the converted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obligations of the converting partnership continue as obligations of the converted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 action or proceeding pending by or against the converting partnership may be continued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§1094.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