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No right or power as limited partner to bind limited partnership</w:t>
      </w:r>
    </w:p>
    <w:p>
      <w:pPr>
        <w:jc w:val="both"/>
        <w:spacing w:before="100" w:after="100"/>
        <w:ind w:start="360"/>
        <w:ind w:firstLine="360"/>
      </w:pPr>
      <w:r>
        <w:rPr/>
      </w:r>
      <w:r>
        <w:rPr/>
      </w:r>
      <w:r>
        <w:t xml:space="preserve">A limited partner does not have the right or the power as a limited partner to act for or bind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§1342. No right or power as limited partner to bind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No right or power as limited partner to bind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§1342. NO RIGHT OR POWER AS LIMITED PARTNER TO BIND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