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§1369. LIABILITY FOR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