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Disposition of assets; when contributions required</w:t>
      </w:r>
    </w:p>
    <w:p>
      <w:pPr>
        <w:jc w:val="both"/>
        <w:spacing w:before="100" w:after="0"/>
        <w:ind w:start="360"/>
        <w:ind w:firstLine="360"/>
      </w:pPr>
      <w:r>
        <w:rPr>
          <w:b/>
        </w:rPr>
        <w:t>1</w:t>
        <w:t xml:space="preserve">.  </w:t>
      </w:r>
      <w:r>
        <w:rPr>
          <w:b/>
        </w:rPr>
        <w:t xml:space="preserve">Assets to satisfy creditors.</w:t>
        <w:t xml:space="preserve"> </w:t>
      </w:r>
      <w:r>
        <w:t xml:space="preserve"> </w:t>
      </w:r>
      <w:r>
        <w:t xml:space="preserve">In winding up a limited partnership's activities, the assets of the limited partnership, including the contributions required by this section, must be applied to satisfy the limited partnership's obligations to creditors, including, to the extent permitted by law, partners that are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Surplus paid in cash distribution.</w:t>
        <w:t xml:space="preserve"> </w:t>
      </w:r>
      <w:r>
        <w:t xml:space="preserve"> </w:t>
      </w:r>
      <w:r>
        <w:t xml:space="preserve">Any surplus remaining after the limited partnership complies with </w:t>
      </w:r>
      <w:r>
        <w:t>subsection 1</w:t>
      </w:r>
      <w:r>
        <w:t xml:space="preserve"> must be paid in cash as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Insufficient assets to satisfy all obligations.</w:t>
        <w:t xml:space="preserve"> </w:t>
      </w:r>
      <w:r>
        <w:t xml:space="preserve"> </w:t>
      </w:r>
      <w:r>
        <w:t xml:space="preserve">If a limited partnership's assets are insufficient to satisfy all of its obligations under </w:t>
      </w:r>
      <w:r>
        <w:t>subsection 1</w:t>
      </w:r>
      <w:r>
        <w:t xml:space="preserve">, with respect to each unsatisfied obligation incurred when the limited partnership was not a limited liability limited partnership, the following rules apply.</w:t>
      </w:r>
    </w:p>
    <w:p>
      <w:pPr>
        <w:jc w:val="both"/>
        <w:spacing w:before="100" w:after="0"/>
        <w:ind w:start="720"/>
      </w:pPr>
      <w:r>
        <w:rPr/>
        <w:t>A</w:t>
        <w:t xml:space="preserve">.  </w:t>
      </w:r>
      <w:r>
        <w:rPr/>
      </w:r>
      <w:r>
        <w:t xml:space="preserve">Each person that was a general partner when the obligation was incurred and that has not been released from the obligation under </w:t>
      </w:r>
      <w:r>
        <w:t>section 1377</w:t>
      </w:r>
      <w:r>
        <w:t xml:space="preserve"> shall contribute to the limited partnership for the purpose of enabling the limited partnership to satisfy the obligation. 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person does not contribute the full amount required under paragraph A with respect to an unsatisfied obligation of the limited partnership, the other persons required to contribute by </w:t>
      </w:r>
      <w:r>
        <w:t>paragraph A</w:t>
      </w:r>
      <w:r>
        <w:t xml:space="preserve"> on account of the obligation shall contribute the additional amount necessary to discharge the obligation. The additional contribution due from each of those other persons is in proportion to the right to receive distributions in the capacity of general partner in effect for each of those other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does not make the additional contribution required by </w:t>
      </w:r>
      <w:r>
        <w:t>paragraph B</w:t>
      </w:r>
      <w:r>
        <w:t xml:space="preserve">, further additional contributions are determined and due in the same manner as provided in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Additional contribution recoverable.</w:t>
        <w:t xml:space="preserve"> </w:t>
      </w:r>
      <w:r>
        <w:t xml:space="preserve"> </w:t>
      </w:r>
      <w:r>
        <w:t xml:space="preserve">A person that makes an additional contribution under </w:t>
      </w:r>
      <w:r>
        <w:t>subsection 3, paragraph B</w:t>
      </w:r>
      <w:r>
        <w:t xml:space="preserve"> or </w:t>
      </w:r>
      <w:r>
        <w:t>C</w:t>
      </w:r>
      <w:r>
        <w:t xml:space="preserve"> may recover from any person whose failure to contribute under </w:t>
      </w:r>
      <w:r>
        <w:t>subsection 3, paragraph A</w:t>
      </w:r>
      <w:r>
        <w:t xml:space="preserve"> or </w:t>
      </w:r>
      <w:r>
        <w:t>B</w:t>
      </w:r>
      <w:r>
        <w:t xml:space="preserve"> necessitated the additional contribution. A person may not recover under this subsection more than the amount additionally contributed. A person's liability under this subsection may not exceed the amount the person failed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Estate of deceased liable for obligations.</w:t>
        <w:t xml:space="preserve"> </w:t>
      </w:r>
      <w:r>
        <w:t xml:space="preserve"> </w:t>
      </w:r>
      <w:r>
        <w:t xml:space="preserve">The estate of a deceased individual is liable for the individual's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Assignee, court appointee may enforce.</w:t>
        <w:t xml:space="preserve"> </w:t>
      </w:r>
      <w:r>
        <w:t xml:space="preserve"> </w:t>
      </w:r>
      <w:r>
        <w:t xml:space="preserve">An assignee for the benefit of creditors of a limited partnership or a partner, or a person appointed by a court to represent creditors of a limited partnership or a partner, may enforce a person's obligation to contribute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Disposition of assets; when contributions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Disposition of assets; when contributions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§1402. DISPOSITION OF ASSETS; WHEN CONTRIBUTIONS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