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Proper plaintiff</w:t>
      </w:r>
    </w:p>
    <w:p>
      <w:pPr>
        <w:jc w:val="both"/>
        <w:spacing w:before="100" w:after="100"/>
        <w:ind w:start="360"/>
        <w:ind w:firstLine="360"/>
      </w:pPr>
      <w:r>
        <w:rPr/>
      </w:r>
      <w:r>
        <w:rPr/>
      </w:r>
      <w:r>
        <w:t xml:space="preserve">A derivative action may be maintained only by a person that is a partner at the time the action is commenced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 when conduct occurred.</w:t>
        <w:t xml:space="preserve"> </w:t>
      </w:r>
      <w:r>
        <w:t xml:space="preserve"> </w:t>
      </w:r>
      <w:r>
        <w:t xml:space="preserve">That was a partner when the conduct giving rise to the action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status.</w:t>
        <w:t xml:space="preserve"> </w:t>
      </w:r>
      <w:r>
        <w:t xml:space="preserve"> </w:t>
      </w:r>
      <w:r>
        <w:t xml:space="preserve">Whose status as a partner devolved upon the person by operation of law or pursuant to the terms of the partnership agreement from a person that was a partner at the time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§1423. Proper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Proper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§1423. PROPER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