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1524</w:t>
        <w:t xml:space="preserve">.  </w:t>
      </w:r>
      <w:r>
        <w:rPr>
          <w:b/>
        </w:rPr>
        <w:t xml:space="preserve">Limited liability company agreement; effect on 3rd parties and relationship to records effective on behalf of limited liability company</w:t>
      </w:r>
    </w:p>
    <w:p>
      <w:pPr>
        <w:jc w:val="both"/>
        <w:spacing w:before="100" w:after="0"/>
        <w:ind w:start="360"/>
        <w:ind w:firstLine="360"/>
      </w:pPr>
      <w:r>
        <w:rPr>
          <w:b/>
        </w:rPr>
        <w:t>1</w:t>
        <w:t xml:space="preserve">.  </w:t>
      </w:r>
      <w:r>
        <w:rPr>
          <w:b/>
        </w:rPr>
        <w:t xml:space="preserve">Manner of amendment.</w:t>
        <w:t xml:space="preserve"> </w:t>
      </w:r>
      <w:r>
        <w:t xml:space="preserve"> </w:t>
      </w:r>
      <w:r>
        <w:t xml:space="preserve">If a limited liability company agreement provides for the manner in which it may be amended, including by requiring the approval of a person who is not a party to the limited liability company agreement or the satisfaction of conditions, it may be amended only in that manner or as otherwise permitted by law.  The approval of the person may be waived by the person and any conditions may be waived by all persons for whose benefit those conditions were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Rights provided.</w:t>
        <w:t xml:space="preserve"> </w:t>
      </w:r>
      <w:r>
        <w:t xml:space="preserve"> </w:t>
      </w:r>
      <w:r>
        <w:t xml:space="preserve">A limited liability company agreement may provide rights to any person, including a person who is not a party to the limited liability company agreement, to the extent set forth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Obligations to transferee or dissociated member.</w:t>
        <w:t xml:space="preserve"> </w:t>
      </w:r>
      <w:r>
        <w:t xml:space="preserve"> </w:t>
      </w:r>
      <w:r>
        <w:t xml:space="preserve">The obligations of a limited liability company and its members to a person in the person's capacity as a transferee or dissociated member are governed by the limited liability company agreement.  An amendment to the limited liability company agreement made after a person becomes a transferee or dissociated member is effective with regard to any debt, obligation or other liability of the limited liability company or its members to the person in the person's capacity as a transferee or dissociated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§1524. Limited liability company agreement; effect on 3rd parties and relationship to records effective on behalf of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§1524. Limited liability company agreement; effect on 3rd parties and relationship to records effective on behalf of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§1524. LIMITED LIABILITY COMPANY AGREEMENT; EFFECT ON 3RD PARTIES AND RELATIONSHIP TO RECORDS EFFECTIVE ON BEHALF OF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