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Sharing of and right to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Sharing of and right to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§1554. SHARING OF AND RIGHT TO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