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Grounds for administrative dissolution of limited liability company</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1592</w:t>
      </w:r>
      <w:r>
        <w:t xml:space="preserve"> to administratively dissolve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2011, c. 113, Pt. A, §11 (AMD).]</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limited liability company does not pay when due any fees or penalties imposed by this chapter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limited liability company does not deliver its annual report to the Secretary of State as required by </w:t>
      </w:r>
      <w:r>
        <w:t>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limited liability company does not pay the annual report late filing penalty as required by </w:t>
      </w:r>
      <w:r>
        <w:t>section 1667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limited liability company is without a registered agent in this State as required by </w:t>
      </w:r>
      <w:r>
        <w:t>section 1661</w:t>
      </w:r>
      <w:r>
        <w:t xml:space="preserve"> and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limited liability company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 member, manager or agent of the limited liability company signed a document with the knowledge that the document was false in a material respect and with the intent that the document be delivered to the office of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§1591. Grounds for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Grounds for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§1591. GROUNDS FOR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