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Proper plaintiff</w:t>
      </w:r>
    </w:p>
    <w:p>
      <w:pPr>
        <w:jc w:val="both"/>
        <w:spacing w:before="100" w:after="0"/>
        <w:ind w:start="360"/>
        <w:ind w:firstLine="360"/>
      </w:pPr>
      <w:r>
        <w:rPr>
          <w:b/>
        </w:rPr>
        <w:t>1</w:t>
        <w:t xml:space="preserve">.  </w:t>
      </w:r>
      <w:r>
        <w:rPr>
          <w:b/>
        </w:rPr>
        <w:t xml:space="preserve">Plaintiff must be a member.</w:t>
        <w:t xml:space="preserve"> </w:t>
      </w:r>
      <w:r>
        <w:t xml:space="preserve"> </w:t>
      </w:r>
      <w:r>
        <w:t xml:space="preserve">Except as otherwise provided in </w:t>
      </w:r>
      <w:r>
        <w:t>subsection 2</w:t>
      </w:r>
      <w:r>
        <w:t xml:space="preserve">, a derivative action under </w:t>
      </w:r>
      <w:r>
        <w:t>section 1632</w:t>
      </w:r>
      <w:r>
        <w:t xml:space="preserve"> may be maintained only by a person that is a member at the time the action is commenced and remains a member while the action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Death of plaintiff.</w:t>
        <w:t xml:space="preserve"> </w:t>
      </w:r>
      <w:r>
        <w:t xml:space="preserve"> </w:t>
      </w:r>
      <w:r>
        <w:t xml:space="preserve">If the sole plaintiff in a derivative action dies while the action is pending, the court may permit another member of the limited liability company to be substituted as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§1633. Proper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Proper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§1633. PROPER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