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§§50,51 (AMD). PL 1997, c. 376, §33 (AMD). PL 1999, c. 594, §19 (AMD). PL 2005, c. 543, §C1 (RP). PL 2005, c. 543, §C3 (AFF). PL 2007, c. 231,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§407.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