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808-C</w:t>
        <w:t xml:space="preserve">.  </w:t>
      </w:r>
      <w:r>
        <w:rPr>
          <w:b/>
        </w:rPr>
        <w:t xml:space="preserve">Reinstatement following revocation</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partnership whose status as a registered limited liability partnership has been revoked under </w:t>
      </w:r>
      <w:r>
        <w:t>section 808‑B</w:t>
      </w:r>
      <w:r>
        <w:t xml:space="preserve"> may apply to the Secretary of State for reinstatement within 6 years after the effective date of revocation. The application must:</w:t>
      </w:r>
    </w:p>
    <w:p>
      <w:pPr>
        <w:jc w:val="both"/>
        <w:spacing w:before="100" w:after="0"/>
        <w:ind w:start="720"/>
      </w:pPr>
      <w:r>
        <w:rPr/>
        <w:t>A</w:t>
        <w:t xml:space="preserve">.  </w:t>
      </w:r>
      <w:r>
        <w:rPr/>
      </w:r>
      <w:r>
        <w:t xml:space="preserve">State the name of the registered limited liability partnership and the effective date of its revocation;</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State that the ground or grounds for revocation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State that the registered limited liability partnership's name satisfies the requirements of </w:t>
      </w:r>
      <w:r>
        <w:t>section 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Reinstatement after revocation.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871, subsection 7‑A</w:t>
      </w:r>
      <w:r>
        <w:t xml:space="preserve">, and that the information is correct, the Secretary of State shall cancel the revocation and prepare a notice of reinstatement that recites that determination and the effective date of reinstatement. The Secretary of State shall use the procedures set forth in </w:t>
      </w:r>
      <w:r>
        <w:t>section 808‑B, subsection 8</w:t>
      </w:r>
      <w:r>
        <w:t xml:space="preserve"> to deliver the notice to the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§7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revocation, and the registered limited liability partnership resumes business as if the revocation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§7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§808-C. Reinstatement following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§808-C. Reinstatement following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§808-C. REINSTATEMENT FOLLOWING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