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Effective date</w:t>
      </w:r>
    </w:p>
    <w:p>
      <w:pPr>
        <w:jc w:val="both"/>
        <w:spacing w:before="100" w:after="100"/>
        <w:ind w:start="360"/>
        <w:ind w:firstLine="360"/>
      </w:pPr>
      <w:r>
        <w:rPr/>
      </w:r>
      <w:r>
        <w:rPr/>
      </w:r>
      <w:r>
        <w:t xml:space="preserve">This Act takes effect September 1, 1996.  All partnerships that register as registered limited liability partnerships on or after that date and all foreign limited liability partnerships that apply for authority to transact business within this State on or after that date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