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PROFESSIONAL INVESTIGATORS</w:t>
      </w:r>
    </w:p>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jc w:val="both"/>
        <w:spacing w:before="100" w:after="100"/>
        <w:ind w:start="1080" w:hanging="720"/>
      </w:pPr>
      <w:r>
        <w:rPr>
          <w:b/>
        </w:rPr>
        <w:t>§</w:t>
        <w:t>8114</w:t>
        <w:t xml:space="preserve">.  </w:t>
      </w:r>
      <w:r>
        <w:rPr>
          <w:b/>
        </w:rPr>
        <w:t xml:space="preserve">Unlawful acts</w:t>
      </w:r>
    </w:p>
    <w:p>
      <w:pPr>
        <w:jc w:val="both"/>
        <w:spacing w:before="100" w:after="100"/>
        <w:ind w:start="360"/>
        <w:ind w:firstLine="360"/>
      </w:pPr>
      <w:r>
        <w:rPr/>
      </w:r>
      <w:r>
        <w:rPr/>
      </w:r>
      <w:r>
        <w:t xml:space="preserve">A person is guilty of improper conduct in private investigation if the person commits any of the acts described in this section.  Improper conduct in private investigation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366, §46 (NEW).]</w:t>
      </w:r>
    </w:p>
    <w:p>
      <w:pPr>
        <w:jc w:val="both"/>
        <w:spacing w:before="100" w:after="100"/>
        <w:ind w:start="360"/>
        <w:ind w:firstLine="360"/>
      </w:pPr>
      <w:r>
        <w:rPr>
          <w:b/>
        </w:rPr>
        <w:t>1</w:t>
        <w:t xml:space="preserve">.  </w:t>
      </w:r>
      <w:r>
        <w:rPr>
          <w:b/>
        </w:rPr>
        <w:t xml:space="preserve">Acting without license; false representation.</w:t>
        <w:t xml:space="preserve"> </w:t>
      </w:r>
      <w:r>
        <w:t xml:space="preserve"> </w:t>
      </w:r>
      <w:r>
        <w:t xml:space="preserve">A person acts without a license or commits false representation if that person intentionally or knowingly:</w:t>
      </w:r>
    </w:p>
    <w:p>
      <w:pPr>
        <w:jc w:val="both"/>
        <w:spacing w:before="100" w:after="0"/>
        <w:ind w:start="720"/>
      </w:pPr>
      <w:r>
        <w:rPr/>
        <w:t>A</w:t>
        <w:t xml:space="preserve">.  </w:t>
      </w:r>
      <w:r>
        <w:rPr/>
      </w:r>
      <w:r>
        <w:t xml:space="preserve">Except as provided in </w:t>
      </w:r>
      <w:r>
        <w:t>section 8104</w:t>
      </w:r>
      <w:r>
        <w:t xml:space="preserve">,  acts as a  professional investigator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Falsely represents that  the person is the holder of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Falsely represents that any person in  the person's employ is a  professional investigator or investigative assistant;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Makes any false statements or material omission in any application filed with the  chief.</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100"/>
        <w:ind w:start="360"/>
        <w:ind w:firstLine="360"/>
      </w:pPr>
      <w:r>
        <w:rPr>
          <w:b/>
        </w:rPr>
        <w:t>2</w:t>
        <w:t xml:space="preserve">.  </w:t>
      </w:r>
      <w:r>
        <w:rPr>
          <w:b/>
        </w:rPr>
        <w:t xml:space="preserve">Representation as peace officer; employment of certain convicted persons; failure to surrender license.</w:t>
        <w:t xml:space="preserve"> </w:t>
      </w:r>
      <w:r>
        <w:t xml:space="preserve"> </w:t>
      </w:r>
      <w:r>
        <w:t xml:space="preserve">A licensed professional investigator or investigative assistant commits misrepresentation as a peace officer, employment of a certain convicted person or failing to surrender if that professional investigator or investigative assistant intentionally or knowingly:</w:t>
      </w:r>
    </w:p>
    <w:p>
      <w:pPr>
        <w:jc w:val="both"/>
        <w:spacing w:before="100" w:after="0"/>
        <w:ind w:start="720"/>
      </w:pPr>
      <w:r>
        <w:rPr/>
        <w:t>A</w:t>
        <w:t xml:space="preserve">.  </w:t>
      </w:r>
      <w:r>
        <w:rPr/>
      </w:r>
      <w:r>
        <w:t xml:space="preserve">Makes any representation, including, but not limited to, presentation of a badge, that suggests, or that would reasonably cause another person to believe, that the licensed  professional investigator or investigative assistant is a sworn peace officer of this State, any political subdivision  of this State,  any other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Employs, in connection with a private  investigation business, in any capacity,  a former licensee whose license has been revoked or a person who has been convicted of :</w:t>
      </w:r>
    </w:p>
    <w:p>
      <w:pPr>
        <w:jc w:val="both"/>
        <w:spacing w:before="100" w:after="0"/>
        <w:ind w:start="1080"/>
      </w:pPr>
      <w:r>
        <w:rPr/>
        <w:t>(</w:t>
        <w:t>1</w:t>
        <w:t xml:space="preserve">)  </w:t>
      </w:r>
      <w:r>
        <w:rPr/>
      </w:r>
      <w:r>
        <w:t xml:space="preserve">A crime in this State that is punishable by imprisonment for a term exceeding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state that, in accordance with the laws of that jurisdiction, is punishable by a term of imprisonment exceeding one year.  This subparagraph does not include a crime under the laws of another state that is classified by the laws of that state as a misdemeanor and is punishable by a term of imprisonment of 2 years or less; or</w:t>
      </w:r>
    </w:p>
    <w:p>
      <w:pPr>
        <w:jc w:val="both"/>
        <w:spacing w:before="100" w:after="0"/>
        <w:ind w:start="1080"/>
      </w:pPr>
      <w:r>
        <w:rPr/>
        <w:t>(</w:t>
        <w:t>4</w:t>
        <w:t xml:space="preserve">)  </w:t>
      </w:r>
      <w:r>
        <w:rPr/>
      </w:r>
      <w:r>
        <w:t xml:space="preserve">A crime under the laws of another state that, in accordance with the laws of that jurisdiction, does not come within subparagraph (3) but is elementally substantially similar to a crime in this State that is punishable by a term of imprisonment for one year or more;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Fails or  refuses to surrender  the professional investigator's license to the  chief following revocation or suspension.</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3</w:t>
        <w:t xml:space="preserve">.  </w:t>
      </w:r>
      <w:r>
        <w:rPr>
          <w:b/>
        </w:rPr>
        <w:t xml:space="preserve">Employing unlicensed individual.</w:t>
        <w:t xml:space="preserve"> </w:t>
      </w:r>
      <w:r>
        <w:t xml:space="preserve"> </w:t>
      </w:r>
      <w:r>
        <w:t xml:space="preserve">A licensed professional investigator commits improper employment conduct if the professional investigator intentionally or knowingly employs or engages any other person to act as a professional investigator unless the person so employed or engaged is licensed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4</w:t>
        <w:t xml:space="preserve">.  </w:t>
      </w:r>
      <w:r>
        <w:rPr>
          <w:b/>
        </w:rPr>
        <w:t xml:space="preserve">Failure of assistant to return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(RP).]</w:t>
      </w:r>
    </w:p>
    <w:p>
      <w:pPr>
        <w:jc w:val="both"/>
        <w:spacing w:before="100" w:after="100"/>
        <w:ind w:start="360"/>
        <w:ind w:firstLine="360"/>
      </w:pPr>
      <w:r>
        <w:rPr>
          <w:b/>
        </w:rPr>
        <w:t>5</w:t>
        <w:t xml:space="preserve">.  </w:t>
      </w:r>
      <w:r>
        <w:rPr>
          <w:b/>
        </w:rPr>
        <w:t xml:space="preserve">Other unlawful acts.</w:t>
        <w:t xml:space="preserve"> </w:t>
      </w:r>
      <w:r>
        <w:t xml:space="preserve"> </w:t>
      </w:r>
      <w:r>
        <w:t xml:space="preserve">A person licensed under this chapter or any person employed by the person commits improper investigative conduct if that person intentionally or knowingly:</w:t>
      </w:r>
    </w:p>
    <w:p>
      <w:pPr>
        <w:jc w:val="both"/>
        <w:spacing w:before="100" w:after="0"/>
        <w:ind w:start="720"/>
      </w:pPr>
      <w:r>
        <w:rPr/>
        <w:t>A</w:t>
        <w:t xml:space="preserve">.  </w:t>
      </w:r>
      <w:r>
        <w:rPr/>
      </w:r>
      <w:r>
        <w:t xml:space="preserve">Incites,  encourages or  aids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Incites,  stirs up,  creates or  aids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Interferes with or  prevents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Interferes with,  restrains or  coerces employees in the exercise of their right to form, join or assist any labor organization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E</w:t>
        <w:t xml:space="preserve">.  </w:t>
      </w:r>
      <w:r>
        <w:rPr/>
      </w:r>
      <w:r>
        <w:t xml:space="preserve">Interferes with or  hinders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F</w:t>
        <w:t xml:space="preserve">.  </w:t>
      </w:r>
      <w:r>
        <w:rPr/>
      </w:r>
      <w:r>
        <w:t xml:space="preserve">Pays or offers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G</w:t>
        <w:t xml:space="preserve">.  </w:t>
      </w:r>
      <w:r>
        <w:rPr/>
      </w:r>
      <w:r>
        <w:t xml:space="preserve">Advertises for,  recruits,  furnishes or  replaces or  offers to furnish or replace for hire or reward, within or outside the State, any skilled or unskilled help or labor, armed guards, other than armed guards employed for the protection of payrolls, property or premises, for service upon property  that is being operated in anticipation of or during the course of a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H</w:t>
        <w:t xml:space="preserve">.  </w:t>
      </w:r>
      <w:r>
        <w:rPr/>
      </w:r>
      <w:r>
        <w:t xml:space="preserve">Furnishes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I</w:t>
        <w:t xml:space="preserve">.  </w:t>
      </w:r>
      <w:r>
        <w:rPr/>
      </w:r>
      <w:r>
        <w:t xml:space="preserve">Furnishes or  offers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J</w:t>
        <w:t xml:space="preserve">.  </w:t>
      </w:r>
      <w:r>
        <w:rPr/>
      </w:r>
      <w:r>
        <w:t xml:space="preserve">Sends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K</w:t>
        <w:t xml:space="preserve">.  </w:t>
      </w:r>
      <w:r>
        <w:rPr/>
      </w:r>
      <w:r>
        <w:t xml:space="preserve">Advises any person of the membership of an individual in a labor organization for the purpose of preventing that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RR 2003, c. 2, §98 (COR). PL 2003, c. 620, §3 (AMD). PL 2011, c. 366, §46 (AMD). </w:t>
      </w:r>
    </w:p>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jc w:val="both"/>
        <w:spacing w:before="100" w:after="100"/>
        <w:ind w:start="1080" w:hanging="720"/>
      </w:pPr>
      <w:r>
        <w:rPr>
          <w:b/>
        </w:rPr>
        <w:t>§</w:t>
        <w:t>8121</w:t>
        <w:t xml:space="preserve">.  </w:t>
      </w:r>
      <w:r>
        <w:rPr>
          <w:b/>
        </w:rPr>
        <w:t xml:space="preserve">Confidentiality when under contract to law enforcement agency</w:t>
      </w:r>
    </w:p>
    <w:p>
      <w:pPr>
        <w:jc w:val="both"/>
        <w:spacing w:before="100" w:after="100"/>
        <w:ind w:start="360"/>
        <w:ind w:firstLine="360"/>
      </w:pPr>
      <w:r>
        <w:rPr/>
      </w:r>
      <w:r>
        <w:rPr/>
      </w:r>
      <w:r>
        <w:t xml:space="preserve">A professional investigator or investigative assistant who enters into a written contract with a law enforcement agency in this State to provide investigative services or consultation to the law enforcement agency is subject to the same provisions of law regarding confidentiality as are employees of the law enforcement agency with which the professional investigator or investigative assistant is under contract.</w:t>
      </w:r>
      <w:r>
        <w:t xml:space="preserve">  </w:t>
      </w:r>
      <w:r xmlns:wp="http://schemas.openxmlformats.org/drawingml/2010/wordprocessingDrawing" xmlns:w15="http://schemas.microsoft.com/office/word/2012/wordml">
        <w:rPr>
          <w:rFonts w:ascii="Arial" w:hAnsi="Arial" w:cs="Arial"/>
          <w:sz w:val="22"/>
          <w:szCs w:val="22"/>
        </w:rPr>
        <w:t xml:space="preserve">[PL 2011, c. 366,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620, §5 (NEW). PL 2011, c. 366, §52 (AMD). </w:t>
      </w:r>
    </w:p>
    <w:p>
      <w:pPr>
        <w:jc w:val="both"/>
        <w:spacing w:before="100" w:after="100"/>
        <w:ind w:start="1080" w:hanging="720"/>
      </w:pPr>
      <w:r>
        <w:rPr>
          <w:b/>
        </w:rPr>
        <w:t>§</w:t>
        <w:t>8122</w:t>
        <w:t xml:space="preserve">.  </w:t>
      </w:r>
      <w:r>
        <w:rPr>
          <w:b/>
        </w:rPr>
        <w:t xml:space="preserve">Proof of valid professional investigator's license</w:t>
      </w:r>
    </w:p>
    <w:p>
      <w:pPr>
        <w:jc w:val="both"/>
        <w:spacing w:before="100" w:after="100"/>
        <w:ind w:start="360"/>
        <w:ind w:firstLine="360"/>
      </w:pPr>
      <w:r>
        <w:rPr/>
      </w:r>
      <w:r>
        <w:rPr/>
      </w:r>
      <w:r>
        <w:t xml:space="preserve">A person or company soliciting work or employment as a professional investigator shall provide proof to any client that the professional investigator holds a valid professional investigator's license before entering into any agreement or contract to conduct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366,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§53 (NEW). </w:t>
      </w:r>
    </w:p>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89.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