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10013</w:t>
        <w:t xml:space="preserve">.  </w:t>
      </w:r>
      <w:r>
        <w:rPr>
          <w:b/>
        </w:rPr>
        <w:t xml:space="preserve">Issuance of certification</w:t>
      </w:r>
    </w:p>
    <w:p>
      <w:pPr>
        <w:jc w:val="both"/>
        <w:spacing w:before="100" w:after="100"/>
        <w:ind w:start="360"/>
        <w:ind w:firstLine="360"/>
      </w:pPr>
      <w:r>
        <w:rPr/>
      </w:r>
      <w:r>
        <w:rPr/>
      </w:r>
      <w:r>
        <w:t xml:space="preserve">The board shall issue a certificate to any person who meets the requirements of this chapter upon payment of the prescribed certification fee.</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§10013. Issuance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§10013. Issuance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§10013. ISSUANCE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