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10016</w:t>
        <w:t xml:space="preserve">.  </w:t>
      </w:r>
      <w:r>
        <w:rPr>
          <w:b/>
        </w:rPr>
        <w:t xml:space="preserve">Uncertified practice</w:t>
      </w:r>
    </w:p>
    <w:p>
      <w:pPr>
        <w:jc w:val="both"/>
        <w:spacing w:before="100" w:after="0"/>
        <w:ind w:start="360"/>
        <w:ind w:firstLine="360"/>
      </w:pPr>
      <w:r>
        <w:rPr>
          <w:b/>
        </w:rPr>
        <w:t>1</w:t>
        <w:t xml:space="preserve">.  </w:t>
      </w:r>
      <w:r>
        <w:rPr>
          <w:b/>
        </w:rPr>
        <w:t xml:space="preserve">Complaints.</w:t>
        <w:t xml:space="preserve"> </w:t>
      </w:r>
      <w:r>
        <w:t xml:space="preserve"> </w:t>
      </w:r>
      <w:r>
        <w:t xml:space="preserve">The board may receive or initiate complaints of uncertified practice as an underground oil storage tank installer or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2</w:t>
        <w:t xml:space="preserve">.  </w:t>
      </w:r>
      <w:r>
        <w:rPr>
          <w:b/>
        </w:rPr>
        <w:t xml:space="preserve">Investigation.</w:t>
        <w:t xml:space="preserve"> </w:t>
      </w:r>
      <w:r>
        <w:t xml:space="preserve"> </w:t>
      </w:r>
      <w:r>
        <w:t xml:space="preserve">Complaints of uncertified practice under </w:t>
      </w:r>
      <w:r>
        <w:t>subsection 1</w:t>
      </w:r>
      <w:r>
        <w:t xml:space="preserve"> may be investigated by the board, the department or the Attorney General.  If sufficient evidence of uncertified practice is uncovered, the evidence must be compiled and presented to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as an underground oil storage tank installer or inspector and intentionally, knowingly or recklessly fails to obtain certification as required by this chapter or intentionally, knowingly or recklessly practices or represents to the public that the person is authorized to practice after the certification required by this chapter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w:pPr>
        <w:jc w:val="both"/>
        <w:spacing w:before="100" w:after="0"/>
        <w:ind w:start="720"/>
      </w:pPr>
      <w:r>
        <w:rPr/>
        <w:t>B</w:t>
        <w:t xml:space="preserve">.  </w:t>
      </w:r>
      <w:r>
        <w:rPr/>
      </w:r>
      <w:r>
        <w:t xml:space="preserve">A person who violates </w:t>
      </w:r>
      <w:r>
        <w:t>paragraph A</w:t>
      </w:r>
      <w:r>
        <w:t xml:space="preserve">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who practices or represents to the public that the person is authorized to practice as an underground oil storage tank installer or inspector without first obtaining certification as required by this chapter or after the certification has expired or has been suspended or revoked commits a civil violation for which a fine of not less than $100 and not more than $2,000 for each violation may be adjudged.  An action under this subsection may be brought in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5</w:t>
        <w:t xml:space="preserve">.  </w:t>
      </w:r>
      <w:r>
        <w:rPr>
          <w:b/>
        </w:rPr>
        <w:t xml:space="preserve">Injunctions.</w:t>
        <w:t xml:space="preserve"> </w:t>
      </w:r>
      <w:r>
        <w:t xml:space="preserve"> </w:t>
      </w:r>
      <w:r>
        <w:t xml:space="preserve">The Attorney General may bring an action in District Court or Superior Court to enjoin a person from violating </w:t>
      </w:r>
      <w:r>
        <w:t>subsection 4</w:t>
      </w:r>
      <w:r>
        <w:t xml:space="preserve"> and to restore to a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 action under this subsection, when a permanent injunction has been issued, the court may order the person against whom the permanent injunction is issued to pay to the Maine Ground and Surface Waters Clean-up and Response Fund under </w:t>
      </w:r>
      <w:r>
        <w:t>Title 38, chapter 3, subchapter 2‑A</w:t>
      </w:r>
      <w:r>
        <w:t xml:space="preserve"> the costs of the investigation of that person by the Attorney General and the costs of suit, including attorney's fees.  In an action by the Attorney General brought against a person for violating the terms of an injunction issued under this subsection, the court may make the necessary orders or judgments to restore to a person who has suffered any ascertainable loss any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 PL 2015, c. 319,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§10016. Uncertified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§10016. Uncertified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§10016. UNCERTIFIED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