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Meetings; chair; rules</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   The board may adopt, pursuant to </w:t>
      </w:r>
      <w:r>
        <w:t>Title 5, chapter 375, subchapter 2</w:t>
      </w:r>
      <w:r>
        <w:t xml:space="preserve">, rules it determines necessary for the holding of examinations and for carrying out this chapter and shall provide for reciprocity of licensing as required to implement </w:t>
      </w:r>
      <w:r>
        <w:t>section 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246,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(RPR). PL 1977, c. 340, §9 (RPR). PL 1977, c. 694, §561 (AMD). PL 1977, c. 696, §237 (AMD). PL 1979, c. 127, §178 (AMD). PL 1983, c. 413, §35 (RPR). PL 1987, c. 735, §52 (AMD). PL 1993, c. 636, §1 (AMD). PL 1999, c. 386, §F12 (AMD). PL 2007, c. 402, Pt. I, §7 (AMD). PL 2013, c. 246,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§1153. Meetings; chair;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Meetings; chair;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§1153. MEETINGS; CHAIR;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