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application, examination, licensure, renewal and other purposes authorized under this chapter in amounts that are reasonable and necessary for their respective purposes, except that the fee for any one purpose other than permit and inspection fees may not exceed $150 biennially.  Rules adopted pursuant to the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§18 (AMD); PL 2011, c. 286, Pt. B, §5 (REV).]</w:t>
      </w:r>
    </w:p>
    <w:p>
      <w:pPr>
        <w:jc w:val="both"/>
        <w:spacing w:before="100" w:after="0"/>
        <w:ind w:start="360"/>
        <w:ind w:firstLine="360"/>
      </w:pPr>
      <w:r>
        <w:rPr>
          <w:b/>
        </w:rPr>
        <w:t>1</w:t>
        <w:t xml:space="preserve">.  </w:t>
      </w:r>
      <w:r>
        <w:rPr>
          <w:b/>
        </w:rPr>
        <w:t xml:space="preserve">Application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§18 (RP).]</w:t>
      </w:r>
    </w:p>
    <w:p>
      <w:pPr>
        <w:jc w:val="both"/>
        <w:spacing w:before="100" w:after="0"/>
        <w:ind w:start="360"/>
        <w:ind w:firstLine="360"/>
      </w:pPr>
      <w:r>
        <w:rPr>
          <w:b/>
        </w:rPr>
        <w:t>2</w:t>
        <w:t xml:space="preserve">.  </w:t>
      </w:r>
      <w:r>
        <w:rPr>
          <w:b/>
        </w:rPr>
        <w:t xml:space="preserve">Examination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§18 (RP).]</w:t>
      </w:r>
    </w:p>
    <w:p>
      <w:pPr>
        <w:jc w:val="both"/>
        <w:spacing w:before="100" w:after="0"/>
        <w:ind w:start="360"/>
        <w:ind w:firstLine="360"/>
      </w:pPr>
      <w:r>
        <w:rPr>
          <w:b/>
        </w:rPr>
        <w:t>3</w:t>
        <w:t xml:space="preserve">.  </w:t>
      </w:r>
      <w:r>
        <w:rPr>
          <w:b/>
        </w:rPr>
        <w:t xml:space="preserve">Licensure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§F17 (NEW). PL 2001, c. 323, §18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§1203-A.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§1203-A.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