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Maine Administrative Procedure Act</w:t>
      </w:r>
    </w:p>
    <w:p>
      <w:pPr>
        <w:jc w:val="both"/>
        <w:spacing w:before="100" w:after="100"/>
        <w:ind w:start="360"/>
        <w:ind w:firstLine="360"/>
      </w:pPr>
      <w:r>
        <w:rPr/>
      </w:r>
      <w:r>
        <w:rPr/>
      </w:r>
      <w:r>
        <w:t xml:space="preserve">The provisions of this chapter and anyone acting under them are subject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