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§12533. Qualifications for licensure as a certified professional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§12533. QUALIFICATIONS FOR LICENSURE AS A CERTIFIED PROFESSIONAL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