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13183</w:t>
        <w:t xml:space="preserve">.  </w:t>
      </w:r>
      <w:r>
        <w:rPr>
          <w:b/>
        </w:rPr>
        <w:t xml:space="preserve">Acts authorized</w:t>
      </w:r>
    </w:p>
    <w:p>
      <w:pPr>
        <w:jc w:val="both"/>
        <w:spacing w:before="100" w:after="100"/>
        <w:ind w:start="360"/>
        <w:ind w:firstLine="360"/>
      </w:pPr>
      <w:r>
        <w:rPr/>
      </w:r>
      <w:r>
        <w:rPr/>
      </w:r>
      <w:r>
        <w:t xml:space="preserve">An agency, through its designated broker, may perform all of the brokerage services contemplated by this chapter and may employ or retain others to perform brokerage services on behalf of the agency.  The designated broker may also delegate any of the designated broker's duties and authority provided for under this chapter to an agency affiliate, but when doing so is not relieved of any responsibility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§13183. 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§13183. 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§13183. 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