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13194</w:t>
        <w:t xml:space="preserve">.  </w:t>
      </w:r>
      <w:r>
        <w:rPr>
          <w:b/>
        </w:rPr>
        <w:t xml:space="preserve">License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of each biennial period for which it was issued, except those licenses issued under </w:t>
      </w:r>
      <w:r>
        <w:t>section 13200</w:t>
      </w:r>
      <w:r>
        <w:t xml:space="preserve">. The director shall issue a renewal license for each ensuing biennial period in the absence of any reason or condition that might warrant the refusal of granting a license, upon receipt of the written request of the applicant, the biennial fee as set under </w:t>
      </w:r>
      <w:r>
        <w:t>section 13007</w:t>
      </w:r>
      <w:r>
        <w:t xml:space="preserve"> for the license and upon the applicant presenting evidence of compliance with the requirements of </w:t>
      </w:r>
      <w:r>
        <w:t>section 13197</w:t>
      </w:r>
      <w:r>
        <w:t xml:space="preserve">. The director shall deny a renewal license to any applicant whose license has lapsed for more than 90 days, unless the renewal license applicant passes the license examination designated by commission rule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402, Pt. BB,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§13194.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§13194.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§13194.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