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3, §B157 (AMD). PL 1991, c. 338, §2 (AMD). PL 1993, c. 600, §A267 (AMD). PL 2001, c. 166, §2 (AMD). PL 2007, c. 402, Pt. CC, §1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