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Licensure required</w:t>
      </w:r>
    </w:p>
    <w:p>
      <w:pPr>
        <w:jc w:val="both"/>
        <w:spacing w:before="100" w:after="100"/>
        <w:ind w:start="360"/>
        <w:ind w:firstLine="360"/>
      </w:pPr>
      <w:r>
        <w:rPr/>
      </w:r>
      <w:r>
        <w:rPr/>
      </w:r>
      <w:r>
        <w:t xml:space="preserve">In order to safeguard life, health and property, any person practicing or offering to practice the profession of engineering is required to submit evidence of qualification to practice the profession of engineering and must be licensed as provided. It is unlawful for any person to practice or to offer to practice the profession of engineering in the State or to use in connection with the person's name or otherwise assume, use or advertise any title or description tending to convey the impression that the person is a professional engineer, unless that person has been duly licensed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315,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§10 (AMD). PL 2005, c. 315,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§1351.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