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13845</w:t>
        <w:t xml:space="preserve">.  </w:t>
      </w:r>
      <w:r>
        <w:rPr>
          <w:b/>
        </w:rPr>
        <w:t xml:space="preserve">Practice protocols</w:t>
      </w:r>
    </w:p>
    <w:p>
      <w:pPr>
        <w:jc w:val="both"/>
        <w:spacing w:before="100" w:after="100"/>
        <w:ind w:start="360"/>
        <w:ind w:firstLine="360"/>
      </w:pPr>
      <w:r>
        <w:rPr/>
      </w:r>
      <w:r>
        <w:rPr/>
      </w:r>
      <w:r>
        <w:t xml:space="preserve">A pharmacist may engage in collaborative drug therapy management in compliance with a treatment protocol established by the practitioner with whom the pharmacist has a collaborative practice agreement.  A copy of the treatment protocol must be submitted to the board.  At a minimum, the treatment protocol must include a statement by the practitioner that describes the activities in which the pharmacist is authorized to engage and a provision that allows the practitioner, when appropriate, to override a collaborative practice decision made by the pharmacist.</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§13845. Practice protocols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§13845. Practice protocols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§13845. PRACTICE PROTOCOLS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