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13847</w:t>
        <w:t xml:space="preserve">.  </w:t>
      </w:r>
      <w:r>
        <w:rPr>
          <w:b/>
        </w:rPr>
        <w:t xml:space="preserve">Exemptions</w:t>
      </w:r>
    </w:p>
    <w:p>
      <w:pPr>
        <w:jc w:val="both"/>
        <w:spacing w:before="100" w:after="100"/>
        <w:ind w:start="360"/>
        <w:ind w:firstLine="360"/>
      </w:pPr>
      <w:r>
        <w:rPr/>
      </w:r>
      <w:r>
        <w:rPr/>
      </w:r>
      <w:r>
        <w:t xml:space="preserve">Nothing in this subchapter may be construed to limit the scope of practice of a pharmacist pursuant to this chapter or to apply to collaborative practice agreements entered into between a pharmacist and a hospital solely for the treatment of inpatients at the hospital.</w:t>
      </w:r>
      <w:r>
        <w:t xml:space="preserve">  </w:t>
      </w:r>
      <w:r xmlns:wp="http://schemas.openxmlformats.org/drawingml/2010/wordprocessingDrawing" xmlns:w15="http://schemas.microsoft.com/office/word/2012/wordml">
        <w:rPr>
          <w:rFonts w:ascii="Arial" w:hAnsi="Arial" w:cs="Arial"/>
          <w:sz w:val="22"/>
          <w:szCs w:val="22"/>
        </w:rPr>
        <w:t xml:space="preserve">[PL 2013, c. 308,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308,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§13847. Exemptions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§13847. Exemptions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§13847. EXEMPTIONS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