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13869</w:t>
        <w:t xml:space="preserve">.  </w:t>
      </w:r>
      <w:r>
        <w:rPr>
          <w:b/>
        </w:rPr>
        <w:t xml:space="preserve">Services to minors with consent of a parent or guardian</w:t>
      </w:r>
    </w:p>
    <w:p>
      <w:pPr>
        <w:jc w:val="both"/>
        <w:spacing w:before="100" w:after="100"/>
        <w:ind w:start="360"/>
      </w:pPr>
      <w:r>
        <w:rPr>
          <w:b/>
        </w:rPr>
        <w:t>(REALLOCATED FROM TITLE 32, SECTION 13868)</w:t>
      </w:r>
    </w:p>
    <w:p>
      <w:pPr>
        <w:jc w:val="both"/>
        <w:spacing w:before="100" w:after="100"/>
        <w:ind w:start="360"/>
        <w:ind w:firstLine="360"/>
      </w:pPr>
      <w:r>
        <w:rPr/>
      </w:r>
      <w:r>
        <w:rPr/>
      </w:r>
      <w:r>
        <w:t xml:space="preserve">A person licensed under this chapter as a clinical professional counselor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§3 (NEW); RR 2021,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§3 (NEW). RR 2021, c. 1, Pt. A,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§13869. Services to minors with consent of a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§13869. Services to minors with consent of a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§13869. SERVICES TO MINORS WITH CONSENT OF A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