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must be administered. Rules adopted pursuant to this chapter are routine technical rules pursuant to </w:t>
      </w:r>
      <w:r>
        <w:t>Title 5, chapter 375, subchapter II‑A</w:t>
      </w:r>
      <w:r>
        <w:t xml:space="preserve">.  Rules are subject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§4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§5 (RP).]</w:t>
      </w:r>
    </w:p>
    <w:p>
      <w:pPr>
        <w:jc w:val="both"/>
        <w:spacing w:before="100" w:after="0"/>
        <w:ind w:start="360"/>
        <w:ind w:firstLine="360"/>
      </w:pPr>
      <w:r>
        <w:rPr>
          <w:b/>
        </w:rPr>
        <w:t>3</w:t>
        <w:t xml:space="preserve">.  </w:t>
      </w:r>
      <w:r>
        <w:rPr>
          <w:b/>
        </w:rPr>
        <w:t xml:space="preserve">Standards.</w:t>
        <w:t xml:space="preserve"> </w:t>
      </w:r>
      <w:r>
        <w:t xml:space="preserve"> </w:t>
      </w:r>
      <w:r>
        <w:t xml:space="preserve">The board may adopt rules consistent with the standards set forth in this chapter governing real estate appraisal conduct in order to establish standards of practice that serve the interest of the public and the appraisal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and application for any license authorized under this chapter that it considers necessary to ensure that applicants are sufficiently trustworthy and competent to make real estate appraisals.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Education.</w:t>
        <w:t xml:space="preserve"> </w:t>
      </w:r>
      <w:r>
        <w:t xml:space="preserve"> </w:t>
      </w:r>
      <w:r>
        <w:t xml:space="preserve">The board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§D1 (AMD). PL 2007, c. 402, Pt. GG,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