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14021</w:t>
        <w:t xml:space="preserve">.  </w:t>
      </w:r>
      <w:r>
        <w:rPr>
          <w:b/>
        </w:rPr>
        <w:t xml:space="preserve">General qualifications</w:t>
      </w:r>
    </w:p>
    <w:p>
      <w:pPr>
        <w:jc w:val="both"/>
        <w:spacing w:before="100" w:after="100"/>
        <w:ind w:start="360"/>
        <w:ind w:firstLine="360"/>
      </w:pPr>
      <w:r>
        <w:rPr/>
      </w:r>
      <w:r>
        <w:rPr/>
      </w:r>
      <w:r>
        <w:t xml:space="preserve">This section governs the application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must submit a properly completed application on forms furnished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§3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must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§6 (AMD).]</w:t>
      </w:r>
    </w:p>
    <w:p>
      <w:pPr>
        <w:jc w:val="both"/>
        <w:spacing w:before="100" w:after="0"/>
        <w:ind w:start="360"/>
        <w:ind w:firstLine="360"/>
      </w:pPr>
      <w:r>
        <w:rPr>
          <w:b/>
        </w:rPr>
        <w:t>6</w:t>
        <w:t xml:space="preserve">.  </w:t>
      </w:r>
      <w:r>
        <w:rPr>
          <w:b/>
        </w:rPr>
        <w:t xml:space="preserve">Other.</w:t>
        <w:t xml:space="preserve"> </w:t>
      </w:r>
      <w:r>
        <w:t xml:space="preserve"> </w:t>
      </w:r>
      <w:r>
        <w:t xml:space="preserve">The applicant shall comply with other requirements that may be prescribed by the board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Fingerprinting.</w:t>
        <w:t xml:space="preserve"> </w:t>
      </w:r>
      <w:r>
        <w:t xml:space="preserve"> </w:t>
      </w:r>
      <w:r>
        <w:t xml:space="preserve">In accordance with standards adopted by the appraiser qualifications board, an applicant shall submit a set of the applicant's fingerprints, taken by a law enforcement officer, and any other information necessary for a statewide and nationwide criminal history record check to be completed by the Department of Public Safety, State Bureau of Identification and the Federal Bureau of Investigation, commencing at the time determined by the appraiser qualifications board.  All costs associated with the criminal history record check are the responsibility of the applicant and must be submitted with the fingerprints.  Criminal history records provided to the board of real estate appraisers are confidential and may only be used to determine an applicant's eligibility for licensure.  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§D3 (AMD). PL 2007, c. 402, Pt. GG, §9 (AMD). PL 2013, c. 217, Pt. J, §6 (AMD). PL 2013, c. 547, §1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