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14047</w:t>
        <w:t xml:space="preserve">.  </w:t>
      </w:r>
      <w:r>
        <w:rPr>
          <w:b/>
        </w:rPr>
        <w:t xml:space="preserve">Controlling persons</w:t>
      </w:r>
    </w:p>
    <w:p>
      <w:pPr>
        <w:jc w:val="both"/>
        <w:spacing w:before="100" w:after="0"/>
        <w:ind w:start="360"/>
        <w:ind w:firstLine="360"/>
      </w:pPr>
      <w:r>
        <w:rPr>
          <w:b/>
        </w:rPr>
        <w:t>1</w:t>
        <w:t xml:space="preserve">.  </w:t>
      </w:r>
      <w:r>
        <w:rPr>
          <w:b/>
        </w:rPr>
        <w:t xml:space="preserve">Designation of controlling person.</w:t>
        <w:t xml:space="preserve"> </w:t>
      </w:r>
      <w:r>
        <w:t xml:space="preserve"> </w:t>
      </w:r>
      <w:r>
        <w:t xml:space="preserve">An appraisal management company applying to the board for a license or for renewal of a license shall designate one controlling person that will be the main contact for all communication between the board and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Requirements.</w:t>
        <w:t xml:space="preserve"> </w:t>
      </w:r>
      <w:r>
        <w:t xml:space="preserve"> </w:t>
      </w:r>
      <w:r>
        <w:t xml:space="preserve">A controlling person must:</w:t>
      </w:r>
    </w:p>
    <w:p>
      <w:pPr>
        <w:jc w:val="both"/>
        <w:spacing w:before="100" w:after="0"/>
        <w:ind w:start="720"/>
      </w:pPr>
      <w:r>
        <w:rPr/>
        <w:t>A</w:t>
        <w:t xml:space="preserve">.  </w:t>
      </w:r>
      <w:r>
        <w:rPr/>
      </w:r>
      <w:r>
        <w:t xml:space="preserve">Be actively licensed or certified in at least one state as an appraiser at all times that the person is designated as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Have never had a license or certificate to act as an appraiser refused, denied, cancelled, revoked or surrendered in lieu of a pending revocation for substantive cause in any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§14047. Controlling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§14047. Controlling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§14047. CONTROLLING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