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14053</w:t>
        <w:t xml:space="preserve">.  </w:t>
      </w:r>
      <w:r>
        <w:rPr>
          <w:b/>
        </w:rPr>
        <w:t xml:space="preserve">Registration process requirements</w:t>
      </w:r>
    </w:p>
    <w:p>
      <w:pPr>
        <w:jc w:val="both"/>
        <w:spacing w:before="100" w:after="100"/>
        <w:ind w:start="360"/>
        <w:ind w:firstLine="360"/>
      </w:pPr>
      <w:r>
        <w:rPr>
          <w:b/>
        </w:rPr>
        <w:t>1</w:t>
        <w:t xml:space="preserve">.  </w:t>
      </w:r>
      <w:r>
        <w:rPr>
          <w:b/>
        </w:rPr>
        <w:t xml:space="preserve">Statement.</w:t>
        <w:t xml:space="preserve"> </w:t>
      </w:r>
      <w:r>
        <w:t xml:space="preserve"> </w:t>
      </w:r>
      <w:r>
        <w:t xml:space="preserve">Except as otherwise provided in this section, each employee leasing company required to be registered under </w:t>
      </w:r>
      <w:r>
        <w:t>section 14052</w:t>
      </w:r>
      <w:r>
        <w:t xml:space="preserve"> shall provide the superintendent with information required by the superintendent on forms that the superintendent specifies.   The superintendent may require registration through the nationwide mortgage licensing system and registry as defined in </w:t>
      </w:r>
      <w:r>
        <w:t>Title 9‑A, section 13‑102, subsection 8</w:t>
      </w:r>
      <w:r>
        <w:t xml:space="preserve">. The superintendent is authorized to participate in the nationwide mortgage licensing system and registry.</w:t>
      </w:r>
    </w:p>
    <w:p>
      <w:pPr>
        <w:jc w:val="both"/>
        <w:spacing w:before="100" w:after="0"/>
        <w:ind w:start="360"/>
      </w:pPr>
      <w:r>
        <w:rPr/>
      </w:r>
      <w:r>
        <w:rPr/>
      </w:r>
      <w:r>
        <w:t xml:space="preserve">The superintendent shall, at a minimum, require employee leasing companies to provide the following information:</w:t>
      </w:r>
    </w:p>
    <w:p>
      <w:pPr>
        <w:jc w:val="both"/>
        <w:spacing w:before="100" w:after="0"/>
        <w:ind w:start="720"/>
      </w:pPr>
      <w:r>
        <w:rPr/>
        <w:t>A</w:t>
        <w:t xml:space="preserve">.  </w:t>
      </w:r>
      <w:r>
        <w:rPr/>
      </w:r>
      <w:r>
        <w:t xml:space="preserve">The name or names under which the registrant conducts business;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The address of the principal place of business of the employee leasing company and the address of each office it maintains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employee leasing company's taxpayer or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A list by jurisdiction of each name under which the employee leasing company has operated in the preceding 5 years, including any alternative names, names of predecessors and, if known, successor business entities;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E</w:t>
        <w:t xml:space="preserve">.  </w:t>
      </w:r>
      <w:r>
        <w:rPr/>
      </w:r>
      <w:r>
        <w:t xml:space="preserve">A list of all persons or entities that own a 5% or greater interest in the employee leasing company at the time of application and a list of persons who formerly owned a 5% or greater interest in the employee leasing company or its predecessors in the preceding 5 years; and</w:t>
      </w:r>
      <w:r>
        <w:t xml:space="preserve">  </w:t>
      </w:r>
      <w:r xmlns:wp="http://schemas.openxmlformats.org/drawingml/2010/wordprocessingDrawing" xmlns:w15="http://schemas.microsoft.com/office/word/2012/wordml">
        <w:rPr>
          <w:rFonts w:ascii="Arial" w:hAnsi="Arial" w:cs="Arial"/>
          <w:sz w:val="22"/>
          <w:szCs w:val="22"/>
        </w:rPr>
        <w:t xml:space="preserve">[PL 1995, c. 618, §20 (AMD).]</w:t>
      </w:r>
    </w:p>
    <w:p>
      <w:pPr>
        <w:jc w:val="both"/>
        <w:spacing w:before="100" w:after="0"/>
        <w:ind w:start="720"/>
      </w:pPr>
      <w:r>
        <w:rPr/>
        <w:t>F</w:t>
        <w:t xml:space="preserve">.  </w:t>
      </w:r>
      <w:r>
        <w:rPr/>
      </w:r>
      <w:r>
        <w:t xml:space="preserve">A list of the cancellations or nonrenewals of workers' compensation insurance issued to the employee leasing company or its predecessors in the preceding 5 years.  The list must include the policy or certificate numbers, names of insurers or other providers of coverage, dates of cancellation and reasons for cancellation.  If coverage has not been canceled or has been renewed, the registration must include a sworn affidavit signed by the chief executive officer of the employee leasing company attesting to that fact.</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(AMD).]</w:t>
      </w:r>
    </w:p>
    <w:p>
      <w:pPr>
        <w:jc w:val="both"/>
        <w:spacing w:before="100" w:after="100"/>
        <w:ind w:start="360"/>
        <w:ind w:firstLine="360"/>
      </w:pPr>
      <w:r>
        <w:rPr>
          <w:b/>
        </w:rPr>
        <w:t>1-A</w:t>
        <w:t xml:space="preserve">.  </w:t>
      </w:r>
      <w:r>
        <w:rPr>
          <w:b/>
        </w:rPr>
        <w:t xml:space="preserve">Registration process authorized.</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superintendent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B</w:t>
        <w:t xml:space="preserve">.  </w:t>
      </w:r>
      <w:r>
        <w:rPr/>
      </w:r>
      <w:r>
        <w:t xml:space="preserve">The payment of fees to apply for or renew registrations, except that the fee for an initial application may not exceed $1,000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C</w:t>
        <w:t xml:space="preserve">.  </w:t>
      </w:r>
      <w:r>
        <w:rPr/>
      </w:r>
      <w:r>
        <w:t xml:space="preserve">The setting or resetting as necessary of any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D</w:t>
        <w:t xml:space="preserve">.  </w:t>
      </w:r>
      <w:r>
        <w:rPr/>
      </w:r>
      <w:r>
        <w:t xml:space="preserve">Other requirements for application for, amendment of or revocation of a registration or any other such activities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360"/>
      </w:pPr>
      <w:r>
        <w:rPr/>
      </w:r>
      <w:r>
        <w:rPr/>
      </w:r>
      <w:r>
        <w:t xml:space="preserve">Fees provided for by this chapter are appropriated for the use of the Bureau of Consumer Credit Protection. Any balance of these funds does not lapse but must be carried forward to be expended for the same purpose in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(NEW).]</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(RP).]</w:t>
      </w:r>
    </w:p>
    <w:p>
      <w:pPr>
        <w:jc w:val="both"/>
        <w:spacing w:before="100" w:after="0"/>
        <w:ind w:start="360"/>
        <w:ind w:firstLine="360"/>
      </w:pPr>
      <w:r>
        <w:rPr>
          <w:b/>
        </w:rPr>
        <w:t>3</w:t>
        <w:t xml:space="preserve">.  </w:t>
      </w:r>
      <w:r>
        <w:rPr>
          <w:b/>
        </w:rPr>
        <w:t xml:space="preserve">List.</w:t>
        <w:t xml:space="preserve"> </w:t>
      </w:r>
      <w:r>
        <w:t xml:space="preserve"> </w:t>
      </w:r>
      <w:r>
        <w:t xml:space="preserve">The superintendent shall maintain a list of employee leasing companies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4</w:t>
        <w:t xml:space="preserve">.  </w:t>
      </w:r>
      <w:r>
        <w:rPr>
          <w:b/>
        </w:rPr>
        <w:t xml:space="preserve">Forms.</w:t>
        <w:t xml:space="preserve"> </w:t>
      </w:r>
      <w:r>
        <w:t xml:space="preserve"> </w:t>
      </w:r>
      <w:r>
        <w:t xml:space="preserve">The superintendent may prescribe forms necessary to promote the efficient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5</w:t>
        <w:t xml:space="preserve">.  </w:t>
      </w:r>
      <w:r>
        <w:rPr>
          <w:b/>
        </w:rPr>
        <w:t xml:space="preserve">Existing companies.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§20 (RP).]</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§20 (AMD). PL 1997, c. 29, §1 (AMD). PL 2021, c. 245, Pt. 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§14053. REGISTRATION PROCESS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