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14056</w:t>
        <w:t xml:space="preserve">.  </w:t>
      </w:r>
      <w:r>
        <w:rPr>
          <w:b/>
        </w:rPr>
        <w:t xml:space="preserve">Exemption</w:t>
      </w:r>
    </w:p>
    <w:p>
      <w:pPr>
        <w:jc w:val="both"/>
        <w:spacing w:before="100" w:after="100"/>
        <w:ind w:start="360"/>
        <w:ind w:firstLine="360"/>
      </w:pPr>
      <w:r>
        <w:rPr/>
      </w:r>
      <w:r>
        <w:rPr/>
      </w:r>
      <w:r>
        <w:t xml:space="preserve">Nothing in this chapter exempts a client company of an employee leasing company nor an employee leased to the client company by the employee leasing company from any other state, local or federal license or registration requirements.  Any individual who must be licensed, registered or certified according to law and who is a leased employee is deemed an employee of the client company for purposes of the license, registration or certification.  An employee leasing company is not liable for the general debts or obligations of a client company with which it has entered into an employee leasing arrangement, except for the payment of unemployment contributions as required in </w:t>
      </w:r>
      <w:r>
        <w:t>section 14055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§14056.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§14056.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§14056.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