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14205</w:t>
        <w:t xml:space="preserve">.  </w:t>
      </w:r>
      <w:r>
        <w:rPr>
          <w:b/>
        </w:rPr>
        <w:t xml:space="preserve">Violations</w:t>
      </w:r>
    </w:p>
    <w:p>
      <w:pPr>
        <w:jc w:val="both"/>
        <w:spacing w:before="100" w:after="100"/>
        <w:ind w:start="360"/>
        <w:ind w:firstLine="360"/>
      </w:pPr>
      <w:r>
        <w:rPr>
          <w:b/>
        </w:rPr>
        <w:t>1</w:t>
        <w:t xml:space="preserve">.  </w:t>
      </w:r>
      <w:r>
        <w:rPr>
          <w:b/>
        </w:rPr>
        <w:t xml:space="preserve">Penalties.</w:t>
        <w:t xml:space="preserve"> </w:t>
      </w:r>
      <w:r>
        <w:t xml:space="preserve"> </w:t>
      </w:r>
      <w:r>
        <w:t xml:space="preserve">A person is subject to the provisions of </w:t>
      </w:r>
      <w:r>
        <w:t>section 14236‑A</w:t>
      </w:r>
      <w:r>
        <w:t xml:space="preserve"> and </w:t>
      </w:r>
      <w:r>
        <w:t>Title 10, section 8003, subsection 5‑A</w:t>
      </w:r>
      <w:r>
        <w:t xml:space="preserve"> if that person:</w:t>
      </w:r>
    </w:p>
    <w:p>
      <w:pPr>
        <w:jc w:val="both"/>
        <w:spacing w:before="100" w:after="0"/>
        <w:ind w:start="720"/>
      </w:pPr>
      <w:r>
        <w:rPr/>
        <w:t>A</w:t>
        <w:t xml:space="preserve">.  </w:t>
      </w:r>
      <w:r>
        <w:rPr/>
      </w:r>
      <w:r>
        <w:t xml:space="preserve">Practices barber hair styling, cosmetology, hair design, nail technology or aesthetics in this State without having obtained a license as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B</w:t>
        <w:t xml:space="preserve">.  </w:t>
      </w:r>
      <w:r>
        <w:rPr/>
      </w:r>
      <w:r>
        <w:t xml:space="preserve">Employs a person to practice barber hair styling, cosmetology, hair design, nail technology or aesthetics who does not have a license; or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C</w:t>
        <w:t xml:space="preserve">.  </w:t>
      </w:r>
      <w:r>
        <w:rPr/>
      </w:r>
      <w:r>
        <w:t xml:space="preserve">Falsely professes to be qualified to practice or instruct barber hair styling, cosmetology, hair design, nail technology or aesthetics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§16 (AMD).]</w:t>
      </w:r>
    </w:p>
    <w:p>
      <w:pPr>
        <w:jc w:val="both"/>
        <w:spacing w:before="100" w:after="0"/>
        <w:ind w:start="360"/>
        <w:ind w:firstLine="360"/>
      </w:pPr>
      <w:r>
        <w:rPr>
          <w:b/>
        </w:rPr>
        <w:t>2</w:t>
        <w:t xml:space="preserve">.  </w:t>
      </w:r>
      <w:r>
        <w:rPr>
          <w:b/>
        </w:rPr>
        <w:t xml:space="preserve">Court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§B14 (AMD). PL 1999, c. 547, §B78 (AMD). PL 1999, c. 547, §B80 (AFF). PL 2007, c. 402, Pt. HH, §6 (AMD). PL 2011, c. 286, Pt. M, §9 (AMD). PL 2019, c. 373,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