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14212-A</w:t>
        <w:t xml:space="preserve">.  </w:t>
      </w:r>
      <w:r>
        <w:rPr>
          <w:b/>
        </w:rPr>
        <w:t xml:space="preserve">Director's powers and duties</w:t>
      </w:r>
    </w:p>
    <w:p>
      <w:pPr>
        <w:jc w:val="both"/>
        <w:spacing w:before="100" w:after="0"/>
        <w:ind w:start="360"/>
        <w:ind w:firstLine="360"/>
      </w:pPr>
      <w:r>
        <w:rPr>
          <w:b/>
        </w:rPr>
        <w:t>1</w:t>
        <w:t xml:space="preserve">.  </w:t>
      </w:r>
      <w:r>
        <w:rPr>
          <w:b/>
        </w:rPr>
        <w:t xml:space="preserve">Duties.</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section are routine technical rules as defined by </w:t>
      </w:r>
      <w:r>
        <w:t>Title 5, chapter 375, subchapter 2‑A</w:t>
      </w:r>
      <w:r>
        <w:t xml:space="preserve">.  The rules must address, but are not limited to, the following:</w:t>
      </w:r>
    </w:p>
    <w:p>
      <w:pPr>
        <w:jc w:val="both"/>
        <w:spacing w:before="100" w:after="0"/>
        <w:ind w:start="720"/>
      </w:pPr>
      <w:r>
        <w:rPr/>
        <w:t>A</w:t>
        <w:t xml:space="preserve">.  </w:t>
      </w:r>
      <w:r>
        <w:rPr/>
      </w:r>
      <w:r>
        <w:t xml:space="preserve">Requirements for the licensure of aestheticians, barber hair stylists, cosmetologists, hair designers, nail technicians, instructors and trainees;</w:t>
      </w:r>
      <w:r>
        <w:t xml:space="preserve">  </w:t>
      </w:r>
      <w:r xmlns:wp="http://schemas.openxmlformats.org/drawingml/2010/wordprocessingDrawing" xmlns:w15="http://schemas.microsoft.com/office/word/2012/wordml">
        <w:rPr>
          <w:rFonts w:ascii="Arial" w:hAnsi="Arial" w:cs="Arial"/>
          <w:sz w:val="22"/>
          <w:szCs w:val="22"/>
        </w:rPr>
        <w:t xml:space="preserve">[PL 2019, c. 373, §17 (AMD).]</w:t>
      </w:r>
    </w:p>
    <w:p>
      <w:pPr>
        <w:jc w:val="both"/>
        <w:spacing w:before="100" w:after="0"/>
        <w:ind w:start="720"/>
      </w:pPr>
      <w:r>
        <w:rPr/>
        <w:t>B</w:t>
        <w:t xml:space="preserve">.  </w:t>
      </w:r>
      <w:r>
        <w:rPr/>
      </w:r>
      <w:r>
        <w:t xml:space="preserve">Requirements for licensing, operating and inspecting schools.  At a minimum, the rules must include standards relating to educational programs, instructor qualifications, school operation, academic and student records and record keeping, health, safety and sanitation, physical facilities of the school and off-site classrooms, payment of refunds, notices and information to be provided to students and credit for education obtained in subjects that are considered substantially equivalent to applied courses offered and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§10 (NEW).]</w:t>
      </w:r>
    </w:p>
    <w:p>
      <w:pPr>
        <w:jc w:val="both"/>
        <w:spacing w:before="100" w:after="0"/>
        <w:ind w:start="720"/>
      </w:pPr>
      <w:r>
        <w:rPr/>
        <w:t>C</w:t>
        <w:t xml:space="preserve">.  </w:t>
      </w:r>
      <w:r>
        <w:rPr/>
      </w:r>
      <w:r>
        <w:t xml:space="preserve">Requirements for licensing and operation of physical facilities and inspection of establishments consistent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373, §18 (AMD).]</w:t>
      </w:r>
    </w:p>
    <w:p>
      <w:pPr>
        <w:jc w:val="both"/>
        <w:spacing w:before="100" w:after="0"/>
        <w:ind w:start="720"/>
      </w:pPr>
      <w:r>
        <w:rPr/>
        <w:t>D</w:t>
        <w:t xml:space="preserve">.  </w:t>
      </w:r>
      <w:r>
        <w:rPr/>
      </w:r>
      <w:r>
        <w:t xml:space="preserve">The establishment of sanitation, health and safe practice standards, including but not limited to blood spill procedures and proper use of tools, implements, equipment and electrical and nonelectrical machines and devices used in connection with the practices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§§17, 18 (AMD).]</w:t>
      </w:r>
    </w:p>
    <w:p>
      <w:pPr>
        <w:jc w:val="both"/>
        <w:spacing w:before="100" w:after="0"/>
        <w:ind w:start="360"/>
        <w:ind w:firstLine="360"/>
      </w:pPr>
      <w:r>
        <w:rPr>
          <w:b/>
        </w:rPr>
        <w:t>3</w:t>
        <w:t xml:space="preserve">.  </w:t>
      </w:r>
      <w:r>
        <w:rPr>
          <w:b/>
        </w:rPr>
        <w:t xml:space="preserve">Inspections.</w:t>
        <w:t xml:space="preserve"> </w:t>
      </w:r>
      <w:r>
        <w:t xml:space="preserve"> </w:t>
      </w:r>
      <w:r>
        <w:t xml:space="preserve">The director or a designee of the director may enter licensed premises to conduct random inspections for compliance with this chapter and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w:pPr>
        <w:jc w:val="both"/>
        <w:spacing w:before="100" w:after="0"/>
        <w:ind w:start="360"/>
        <w:ind w:firstLine="360"/>
      </w:pPr>
      <w:r>
        <w:rPr>
          <w:b/>
        </w:rPr>
        <w:t>4</w:t>
        <w:t xml:space="preserve">.  </w:t>
      </w:r>
      <w:r>
        <w:rPr>
          <w:b/>
        </w:rPr>
        <w:t xml:space="preserve">Diseases.</w:t>
        <w:t xml:space="preserve"> </w:t>
      </w:r>
      <w:r>
        <w:t xml:space="preserve"> </w:t>
      </w:r>
      <w:r>
        <w:t xml:space="preserve">The director may require the physical examination of any person offering service to members of the public who is suspected of having any communicable disease.  A person who has a communicable disease may not give service to members of the public, including service within licensed establishments or schools licensed by the director.  Failure to submit to such an examination is grounds for suspension or revocation of the person's registration, certification, permit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§10 (NEW). PL 2011, c. 286, Pt. M, §10 (AMD). PL 2019, c. 373,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§14212-A. Director's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§14212-A. Director's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§14212-A. DIRECTOR'S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