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14704</w:t>
        <w:t xml:space="preserve">.  </w:t>
      </w:r>
      <w:r>
        <w:rPr>
          <w:b/>
        </w:rPr>
        <w:t xml:space="preserve">Disclosure of license number and permanent place of business</w:t>
      </w:r>
    </w:p>
    <w:p>
      <w:pPr>
        <w:jc w:val="both"/>
        <w:spacing w:before="100" w:after="0"/>
        <w:ind w:start="360"/>
        <w:ind w:firstLine="360"/>
      </w:pPr>
      <w:r>
        <w:rPr>
          <w:b/>
        </w:rPr>
        <w:t>1</w:t>
        <w:t xml:space="preserve">.  </w:t>
      </w:r>
      <w:r>
        <w:rPr>
          <w:b/>
        </w:rPr>
        <w:t xml:space="preserve">License number and permanent place of business disclosed in advertisements.</w:t>
        <w:t xml:space="preserve"> </w:t>
      </w:r>
      <w:r>
        <w:t xml:space="preserve"> </w:t>
      </w:r>
      <w:r>
        <w:t xml:space="preserve">Every time a transient seller of consumer merchandise advertises in this State for the sale of merchandise, whether in print or electronic media, the advertisement must disclose the transient seller's license number in the following manner:  "State Department of Professional and Financial Regulation Transient Seller's License Number:  (Fill in number)" and must disclose the address of the seller's permanent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§13 (AMD).]</w:t>
      </w:r>
    </w:p>
    <w:p>
      <w:pPr>
        <w:jc w:val="both"/>
        <w:spacing w:before="100" w:after="0"/>
        <w:ind w:start="360"/>
        <w:ind w:firstLine="360"/>
      </w:pPr>
      <w:r>
        <w:rPr>
          <w:b/>
        </w:rPr>
        <w:t>2</w:t>
        <w:t xml:space="preserve">.  </w:t>
      </w:r>
      <w:r>
        <w:rPr>
          <w:b/>
        </w:rPr>
        <w:t xml:space="preserve">License number and place of business disclosed in written receipt.</w:t>
        <w:t xml:space="preserve"> </w:t>
      </w:r>
      <w:r>
        <w:t xml:space="preserve"> </w:t>
      </w:r>
      <w:r>
        <w:t xml:space="preserve">Every time a transient seller of consumer merchandise sells merchandise to a consumer in this State, the transient seller shall provide the purchaser with a written receipt, at the time of sale, disclosing the transient seller's license number in the following manner:  "State Department of Professional and Financial Regulation Transient Seller's License Number: (Fill in number)" and disclosing the transient seller's name and permanent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§13 (AMD).]</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§16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§R16 (AMD). PL 2003, c. 452, §X2 (AFF). PL 2007, c. 402, Pt. KK,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§14704. Disclosure of license number and permanent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§14704. Disclosure of license number and permanent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§14704. DISCLOSURE OF LICENSE NUMBER AND PERMANENT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