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15204</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D, §7 (AMD).]</w:t>
      </w:r>
    </w:p>
    <w:p>
      <w:pPr>
        <w:jc w:val="both"/>
        <w:spacing w:before="100" w:after="100"/>
        <w:ind w:start="360"/>
        <w:ind w:firstLine="360"/>
      </w:pPr>
      <w:r>
        <w:rPr/>
      </w:r>
      <w:r>
        <w:rPr/>
      </w:r>
      <w:r>
        <w:t xml:space="preserve">Any person who is or will be aggrieved by the application of  any law, code or rule relating to the installation or alteration of elevators or tramways may file a petition for a variance, whether compliance with that provision is required at the time of filing or at the time that provision becomes effective.  The filing fee for a petition for a variance must be set by the director under </w:t>
      </w:r>
      <w:r>
        <w:t>section 15225‑A</w:t>
      </w:r>
      <w:r>
        <w:t xml:space="preserve">.   The chief inspector may grant a variance if, owing to conditions especially affecting the particular building or installation involved, the enforcement of any law, code or rule relating to elevators or tramways would do manifest injustice or cause substantial hardship, financial or otherwise, to the petitioner or any occupant of the petitioner's building or would be unreasonable under the circumstances or condition of the property, provided that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2001, c. 573, Pt. B, §10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§X3 (AMD). PL 2001, c. 573, §B10 (AMD). PL 2001, c. 573, §B36 (AFF). PL 2013, c. 70, Pt. D,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§15204.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