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16303</w:t>
        <w:t xml:space="preserve">.  </w:t>
      </w:r>
      <w:r>
        <w:rPr>
          <w:b/>
        </w:rPr>
        <w:t xml:space="preserve">Securities registration by coordination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for which a registration statement has been filed under the federal Securities Act of 1933 in connection with the same offering may be registered by coordination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and accompanying records under this section must contain or be accompanied by the following records in addition to the information specified in </w:t>
      </w:r>
      <w:r>
        <w:t>section 16305</w:t>
      </w:r>
      <w:r>
        <w:t xml:space="preserve"> and a consent to service of process complying with </w:t>
      </w:r>
      <w:r>
        <w:t>section 16611</w:t>
      </w:r>
      <w:r>
        <w:t xml:space="preserve">:</w:t>
      </w:r>
    </w:p>
    <w:p>
      <w:pPr>
        <w:jc w:val="both"/>
        <w:spacing w:before="100" w:after="0"/>
        <w:ind w:start="720"/>
      </w:pPr>
      <w:r>
        <w:rPr/>
        <w:t>A</w:t>
        <w:t xml:space="preserve">.  </w:t>
      </w:r>
      <w:r>
        <w:rPr/>
      </w:r>
      <w:r>
        <w:t xml:space="preserve">A copy of the latest form of prospectus filed under the federal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If requested by the administrator,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Copies of any other information or any other records filed by the issuer under the federal Securities Act of 1933 requested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undertaking to forward each amendment to the federal prospectus, other than an amendment that delays the effective date of the registration statement, promptly after it is filed with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simultaneously with or subsequent to the federal registration statement when all the following conditions are satisfied:</w:t>
      </w:r>
    </w:p>
    <w:p>
      <w:pPr>
        <w:jc w:val="both"/>
        <w:spacing w:before="100" w:after="0"/>
        <w:ind w:start="720"/>
      </w:pPr>
      <w:r>
        <w:rPr/>
        <w:t>A</w:t>
        <w:t xml:space="preserve">.  </w:t>
      </w:r>
      <w:r>
        <w:rPr/>
      </w:r>
      <w:r>
        <w:t xml:space="preserve">A stop order under </w:t>
      </w:r>
      <w:r>
        <w:t>subsection 4</w:t>
      </w:r>
      <w:r>
        <w:t xml:space="preserve"> or </w:t>
      </w:r>
      <w:r>
        <w:t>section 16306</w:t>
      </w:r>
      <w:r>
        <w:t xml:space="preserve"> or issued by the Securities and Exchange Commission is not in effect and a proceeding is not pending against the issuer under </w:t>
      </w:r>
      <w:r>
        <w:t>section 16306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registration statement has been on file for at least 20 days or a shorter period provided by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Notice of federal registration statement effectiveness.</w:t>
        <w:t xml:space="preserve"> </w:t>
      </w:r>
      <w:r>
        <w:t xml:space="preserve"> </w:t>
      </w:r>
      <w:r>
        <w:t xml:space="preserve">The registrant shall promptly notify the administrator in a record of the date when the federal registration statement becomes effective and the content of any price amendment and shall promptly file a record containing the price amendment. If the notice is not timely received, the administrator may issue a stop order, without prior notice or hearing, retroactively denying effectiveness to the registration statement or suspending its effectiveness until compliance with this section. The administrator shall promptly notify the registrant of an order by telegram, telephone or electronic means and promptly confirm this notice by a record. If the registrant subsequently complies with the notice requirements of this section within 15 days of the issuance of the stop order, the stop order is void as of the date of its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Effectiveness of registration statement.</w:t>
        <w:t xml:space="preserve"> </w:t>
      </w:r>
      <w:r>
        <w:t xml:space="preserve"> </w:t>
      </w:r>
      <w:r>
        <w:t xml:space="preserve">If the federal registration statement becomes effective before each of the conditions in this section is satisfied or is waived by the administrator, the registration statement is automatically effective under this chapter when all the conditions are satisfied or waived. If the registrant notifies the administrator of the date when the federal registration statement is expected to become effective, the administrator shall promptly notify the registrant by telegram, telephone or electronic means and promptly confirm this notice by a record, indicating whether all the conditions are satisfied or waived and whether the administrator intends the institution of a proceeding under </w:t>
      </w:r>
      <w:r>
        <w:t>section 16306</w:t>
      </w:r>
      <w:r>
        <w:t xml:space="preserve">. The notice by the administrator does not preclude the institution of such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Prospectus delivery.</w:t>
        <w:t xml:space="preserve"> </w:t>
      </w:r>
      <w:r>
        <w:t xml:space="preserve"> </w:t>
      </w:r>
      <w:r>
        <w:t xml:space="preserve">When a security is registered under this section, the prospectus filed under the federal Securities Act of 1933 must be delivered at the time mandated by the prospectus delivery requirements of that Act to each purchaser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§16303. Securities registration by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§16303. Securities registration by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§16303. SECURITIES REGISTRATION BY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