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16506</w:t>
        <w:t xml:space="preserve">.  </w:t>
      </w:r>
      <w:r>
        <w:rPr>
          <w:b/>
        </w:rPr>
        <w:t xml:space="preserve">Misrepresentations concerning licensing, registration or exemption</w:t>
      </w:r>
    </w:p>
    <w:p>
      <w:pPr>
        <w:jc w:val="both"/>
        <w:spacing w:before="100" w:after="100"/>
        <w:ind w:start="360"/>
        <w:ind w:firstLine="360"/>
      </w:pPr>
      <w:r>
        <w:rPr/>
      </w:r>
      <w:r>
        <w:rPr/>
      </w:r>
      <w:r>
        <w:t xml:space="preserve">The filing of an application for licensing, registration, a registration statement, a notice filing under this chapter, the licensing of a person, the notice filing by a person or the registration of a security under this chapter does not constitute a finding by the administrator that a record filed under this chapter is true, complete and not misleading. The filing, licensing or registration or the availability of an exemption, exception, preemption or exclusion for a security or a transaction does not mean that the administrator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§16506. Misrepresentations concerning licensing, registration 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§16506. Misrepresentations concerning licensing, registration 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§16506. MISREPRESENTATIONS CONCERNING LICENSING, REGISTRATION 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