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16528</w:t>
        <w:t xml:space="preserve">.  </w:t>
      </w:r>
      <w:r>
        <w:rPr>
          <w:b/>
        </w:rPr>
        <w:t xml:space="preserve">Award not subject to execution, attachment, garnishment or other process</w:t>
      </w:r>
    </w:p>
    <w:p>
      <w:pPr>
        <w:jc w:val="both"/>
        <w:spacing w:before="100" w:after="100"/>
        <w:ind w:start="360"/>
        <w:ind w:firstLine="360"/>
      </w:pPr>
      <w:r>
        <w:rPr/>
      </w:r>
      <w:r>
        <w:rPr/>
      </w:r>
      <w:r>
        <w:t xml:space="preserve">A restitution assistance award made by the administrator under this subchapter is not subject to execution, attachment, garnishment or other process, except an execution, attachment, garnishment or other process brought by or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§16528. Award not subject to execution, attachment, garnishment or other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§16528. Award not subject to execution, attachment, garnishment or other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§16528. AWARD NOT SUBJECT TO EXECUTION, ATTACHMENT, GARNISHMENT OR OTHER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