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16606</w:t>
        <w:t xml:space="preserve">.  </w:t>
      </w:r>
      <w:r>
        <w:rPr>
          <w:b/>
        </w:rPr>
        <w:t xml:space="preserve">Administrative files and opinions</w:t>
      </w:r>
    </w:p>
    <w:p>
      <w:pPr>
        <w:jc w:val="both"/>
        <w:spacing w:before="100" w:after="0"/>
        <w:ind w:start="360"/>
        <w:ind w:firstLine="360"/>
      </w:pPr>
      <w:r>
        <w:rPr>
          <w:b/>
        </w:rPr>
        <w:t>1</w:t>
        <w:t xml:space="preserve">.  </w:t>
      </w:r>
      <w:r>
        <w:rPr>
          <w:b/>
        </w:rPr>
        <w:t xml:space="preserve">Public register of filings.</w:t>
        <w:t xml:space="preserve"> </w:t>
      </w:r>
      <w:r>
        <w:t xml:space="preserve"> </w:t>
      </w:r>
      <w:r>
        <w:t xml:space="preserve">Subject to state record-keeping requirements, the administrator shall maintain, or designate a person to maintain, records or a register of: applications for registration of securities; registration statements; notice filings; applications for registration of broker-dealers, agents, investment advisers and investment adviser representatives; notice filings by federal covered investment advisers that are or have been effective under this chapter or the predecessor act; notices of claims of exemption from registration or notice filing requirements contained in a record; orders issued under this chapter or the predecessor act; and interpretative opinions or no action determinations issued under this chapter.  Records may be maintained in computer or microform format or any other form of data storage, as long as the records are readily accessible.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Public availability.</w:t>
        <w:t xml:space="preserve"> </w:t>
      </w:r>
      <w:r>
        <w:t xml:space="preserve"> </w:t>
      </w:r>
      <w:r>
        <w:t xml:space="preserve">The administrator shall make all rules, forms, interpretative opinions, advisory rulings, consent agreements and orders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Copies of public records.</w:t>
        <w:t xml:space="preserve"> </w:t>
      </w:r>
      <w:r>
        <w:t xml:space="preserve"> </w:t>
      </w:r>
      <w:r>
        <w:t xml:space="preserve">The administrator shall furnish a copy of a record that is a public record or a certification that the public record does not exist to a person that so requests. A rule adopted or order issued under this chapter may establish a reasonable charge for furnishing the record, not to exceed $.50 per page; for providing a licensee register in an electronically readable format, not to exceed $20 per copy; or for certification, not to exceed $10 per certified record. A copy of the record certified or a certificate by the administrator of a record's nonexistence is prima facie evidence of a record or its nonexistence.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§16606. Administrative files and opinions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§16606. Administrative files and opinions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§16606. ADMINISTRATIVE FILES AND OPINIONS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